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B82AF" w14:textId="7C50E350" w:rsidR="00B85C7E" w:rsidRPr="00F113CF" w:rsidRDefault="00B85C7E" w:rsidP="00B85C7E">
      <w:pPr>
        <w:jc w:val="center"/>
        <w:rPr>
          <w:b/>
          <w:bCs/>
          <w:sz w:val="28"/>
          <w:szCs w:val="28"/>
        </w:rPr>
      </w:pPr>
      <w:r w:rsidRPr="00F113CF">
        <w:rPr>
          <w:b/>
          <w:bCs/>
          <w:sz w:val="28"/>
          <w:szCs w:val="28"/>
        </w:rPr>
        <w:t xml:space="preserve">Template for supply contracts </w:t>
      </w:r>
      <w:r w:rsidR="00F113CF" w:rsidRPr="00F113CF">
        <w:rPr>
          <w:b/>
          <w:bCs/>
          <w:sz w:val="28"/>
          <w:szCs w:val="28"/>
        </w:rPr>
        <w:t xml:space="preserve">– example </w:t>
      </w:r>
    </w:p>
    <w:p w14:paraId="3CFE3D88" w14:textId="77777777" w:rsidR="00B85C7E" w:rsidRPr="0071075F" w:rsidRDefault="00B85C7E" w:rsidP="00B85C7E"/>
    <w:p w14:paraId="4CA167B6" w14:textId="5C944C4B" w:rsidR="00194945" w:rsidRPr="006433B6" w:rsidRDefault="00F013FB">
      <w:pPr>
        <w:rPr>
          <w:sz w:val="24"/>
          <w:szCs w:val="24"/>
        </w:rPr>
      </w:pPr>
      <w:r w:rsidRPr="006433B6">
        <w:rPr>
          <w:sz w:val="24"/>
          <w:szCs w:val="24"/>
        </w:rPr>
        <w:t xml:space="preserve">The following </w:t>
      </w:r>
      <w:r w:rsidR="006433B6">
        <w:rPr>
          <w:sz w:val="24"/>
          <w:szCs w:val="24"/>
        </w:rPr>
        <w:t xml:space="preserve">headings and text blocks </w:t>
      </w:r>
      <w:r w:rsidR="007D3E18" w:rsidRPr="006433B6">
        <w:rPr>
          <w:sz w:val="24"/>
          <w:szCs w:val="24"/>
        </w:rPr>
        <w:t>are suggestions of what could</w:t>
      </w:r>
      <w:r w:rsidR="004C2C8D" w:rsidRPr="006433B6">
        <w:rPr>
          <w:sz w:val="24"/>
          <w:szCs w:val="24"/>
        </w:rPr>
        <w:t xml:space="preserve"> be included in supply contracts regarding chemicals</w:t>
      </w:r>
      <w:r w:rsidR="007A0492" w:rsidRPr="006433B6">
        <w:rPr>
          <w:sz w:val="24"/>
          <w:szCs w:val="24"/>
        </w:rPr>
        <w:t>. The sections can be included individually or in combination.</w:t>
      </w:r>
      <w:r w:rsidR="006433B6">
        <w:rPr>
          <w:sz w:val="24"/>
          <w:szCs w:val="24"/>
        </w:rPr>
        <w:t xml:space="preserve"> Information that should be added to the contract, e.g. lists are named in brackets. </w:t>
      </w:r>
    </w:p>
    <w:p w14:paraId="3DA425E5" w14:textId="77777777" w:rsidR="00661D7D" w:rsidRPr="00661D7D" w:rsidRDefault="00661D7D" w:rsidP="00661D7D">
      <w:pPr>
        <w:pStyle w:val="KeinLeerraum"/>
      </w:pPr>
    </w:p>
    <w:p w14:paraId="688E1A01" w14:textId="25BDCC1C" w:rsidR="003C1A45" w:rsidRPr="003C1A45" w:rsidRDefault="003C1A45" w:rsidP="003C1A45">
      <w:pPr>
        <w:pStyle w:val="Listenabsatz"/>
        <w:widowControl w:val="0"/>
        <w:numPr>
          <w:ilvl w:val="0"/>
          <w:numId w:val="4"/>
        </w:numPr>
        <w:spacing w:before="60" w:after="60" w:line="240" w:lineRule="auto"/>
        <w:rPr>
          <w:rFonts w:ascii="Calibri" w:hAnsi="Calibri"/>
          <w:b/>
          <w:color w:val="000000"/>
          <w:sz w:val="24"/>
          <w:szCs w:val="24"/>
        </w:rPr>
      </w:pPr>
      <w:r w:rsidRPr="003C1A45">
        <w:rPr>
          <w:b/>
          <w:color w:val="000000"/>
          <w:sz w:val="24"/>
          <w:szCs w:val="24"/>
        </w:rPr>
        <w:t xml:space="preserve">Exclusion of chemicals </w:t>
      </w:r>
      <w:r w:rsidR="007D3E18">
        <w:rPr>
          <w:b/>
          <w:color w:val="000000"/>
          <w:sz w:val="24"/>
          <w:szCs w:val="24"/>
        </w:rPr>
        <w:t>/ restricted substances list</w:t>
      </w:r>
    </w:p>
    <w:p w14:paraId="2E8883A9" w14:textId="4FD6AF48" w:rsidR="003C1A45" w:rsidRDefault="003C1A45" w:rsidP="003C1A45">
      <w:pPr>
        <w:widowControl w:val="0"/>
        <w:spacing w:before="60" w:after="60" w:line="240" w:lineRule="auto"/>
        <w:rPr>
          <w:rFonts w:ascii="Calibri" w:hAnsi="Calibri"/>
          <w:color w:val="000000"/>
        </w:rPr>
      </w:pPr>
      <w:r>
        <w:rPr>
          <w:color w:val="000000"/>
        </w:rPr>
        <w:t xml:space="preserve">“The following chemicals must not be contained in </w:t>
      </w:r>
      <w:r w:rsidR="007A0492">
        <w:rPr>
          <w:color w:val="000000"/>
        </w:rPr>
        <w:t xml:space="preserve">any of </w:t>
      </w:r>
      <w:r>
        <w:rPr>
          <w:color w:val="000000"/>
        </w:rPr>
        <w:t xml:space="preserve">the supplied products” </w:t>
      </w:r>
    </w:p>
    <w:p w14:paraId="734C708B" w14:textId="462FC86E" w:rsidR="004C2C8D" w:rsidRDefault="003C1A45" w:rsidP="003C1A45">
      <w:r w:rsidRPr="00BB5D39">
        <w:rPr>
          <w:i/>
          <w:color w:val="000000"/>
        </w:rPr>
        <w:t>[List of chemical substances and their CAS numbers to be added]</w:t>
      </w:r>
    </w:p>
    <w:p w14:paraId="62F02F17" w14:textId="3EB341C3" w:rsidR="00DA5C5A" w:rsidRPr="00DA5C5A" w:rsidRDefault="00DA5C5A" w:rsidP="00DA5C5A">
      <w:pPr>
        <w:pStyle w:val="Listenabsatz"/>
        <w:widowControl w:val="0"/>
        <w:numPr>
          <w:ilvl w:val="0"/>
          <w:numId w:val="4"/>
        </w:numPr>
        <w:spacing w:before="60" w:after="60" w:line="240" w:lineRule="auto"/>
        <w:rPr>
          <w:rFonts w:ascii="Calibri" w:hAnsi="Calibri"/>
          <w:b/>
          <w:color w:val="000000"/>
          <w:sz w:val="24"/>
          <w:szCs w:val="24"/>
        </w:rPr>
      </w:pPr>
      <w:r w:rsidRPr="00DA5C5A">
        <w:rPr>
          <w:b/>
          <w:color w:val="000000"/>
          <w:sz w:val="24"/>
          <w:szCs w:val="24"/>
        </w:rPr>
        <w:t>Exclusion of hazardous properties</w:t>
      </w:r>
    </w:p>
    <w:p w14:paraId="334B6172" w14:textId="440D20D0" w:rsidR="00DA5C5A" w:rsidRDefault="00DA5C5A" w:rsidP="00DA5C5A">
      <w:pPr>
        <w:widowControl w:val="0"/>
        <w:spacing w:before="60" w:after="60" w:line="240" w:lineRule="auto"/>
        <w:rPr>
          <w:rFonts w:ascii="Calibri" w:hAnsi="Calibri"/>
          <w:color w:val="000000"/>
        </w:rPr>
      </w:pPr>
      <w:r>
        <w:rPr>
          <w:color w:val="000000"/>
        </w:rPr>
        <w:t xml:space="preserve">“None of the ingredients contained in the supplied goods in concentrations above 0.1% may be classified with the following </w:t>
      </w:r>
      <w:r w:rsidR="00110AAC">
        <w:rPr>
          <w:color w:val="000000"/>
        </w:rPr>
        <w:t>CLP</w:t>
      </w:r>
      <w:r>
        <w:rPr>
          <w:color w:val="000000"/>
        </w:rPr>
        <w:t xml:space="preserve"> hazard statements”</w:t>
      </w:r>
    </w:p>
    <w:p w14:paraId="7F98300D" w14:textId="4BCBFCEC" w:rsidR="004C2C8D" w:rsidRDefault="00DA5C5A" w:rsidP="00110AAC">
      <w:pPr>
        <w:rPr>
          <w:i/>
          <w:color w:val="000000"/>
        </w:rPr>
      </w:pPr>
      <w:r w:rsidRPr="00110AAC">
        <w:rPr>
          <w:i/>
          <w:color w:val="000000"/>
        </w:rPr>
        <w:t xml:space="preserve">[List of </w:t>
      </w:r>
      <w:r w:rsidR="00110AAC">
        <w:rPr>
          <w:i/>
          <w:color w:val="000000"/>
        </w:rPr>
        <w:t>CLP</w:t>
      </w:r>
      <w:r w:rsidRPr="00110AAC">
        <w:rPr>
          <w:i/>
          <w:color w:val="000000"/>
        </w:rPr>
        <w:t xml:space="preserve"> hazard statements to be added]</w:t>
      </w:r>
    </w:p>
    <w:p w14:paraId="3710FC2A" w14:textId="07EE7C5B" w:rsidR="002A6AB3" w:rsidRPr="002A6AB3" w:rsidRDefault="002A6AB3" w:rsidP="002A6AB3">
      <w:pPr>
        <w:pStyle w:val="Listenabsatz"/>
        <w:widowControl w:val="0"/>
        <w:numPr>
          <w:ilvl w:val="0"/>
          <w:numId w:val="4"/>
        </w:numPr>
        <w:spacing w:before="60" w:after="60" w:line="240" w:lineRule="auto"/>
        <w:rPr>
          <w:rFonts w:ascii="Calibri" w:hAnsi="Calibri"/>
          <w:b/>
          <w:color w:val="000000"/>
          <w:sz w:val="24"/>
          <w:szCs w:val="24"/>
        </w:rPr>
      </w:pPr>
      <w:r w:rsidRPr="002A6AB3">
        <w:rPr>
          <w:b/>
          <w:color w:val="000000"/>
          <w:sz w:val="24"/>
          <w:szCs w:val="24"/>
        </w:rPr>
        <w:t>Changes of the product (information)</w:t>
      </w:r>
    </w:p>
    <w:p w14:paraId="59383B65" w14:textId="74A36C69" w:rsidR="001A0647" w:rsidRDefault="002A6AB3" w:rsidP="002A6AB3">
      <w:pPr>
        <w:rPr>
          <w:color w:val="000000"/>
        </w:rPr>
      </w:pPr>
      <w:r w:rsidRPr="002A6AB3">
        <w:rPr>
          <w:color w:val="000000"/>
        </w:rPr>
        <w:t xml:space="preserve">“In case the composition of the supplied </w:t>
      </w:r>
      <w:r w:rsidR="006433B6">
        <w:rPr>
          <w:color w:val="000000"/>
        </w:rPr>
        <w:t xml:space="preserve">products </w:t>
      </w:r>
      <w:r w:rsidRPr="002A6AB3">
        <w:rPr>
          <w:color w:val="000000"/>
        </w:rPr>
        <w:t xml:space="preserve">is changed, the client is to be informed immediately. An up-to-date technical documentation of the supplied </w:t>
      </w:r>
      <w:r w:rsidR="006433B6">
        <w:t xml:space="preserve">products </w:t>
      </w:r>
      <w:r w:rsidRPr="002A6AB3">
        <w:rPr>
          <w:color w:val="000000"/>
        </w:rPr>
        <w:t>must be provided</w:t>
      </w:r>
      <w:r w:rsidR="006433B6">
        <w:rPr>
          <w:color w:val="000000"/>
        </w:rPr>
        <w:t xml:space="preserve"> immediately after the change</w:t>
      </w:r>
      <w:r w:rsidRPr="002A6AB3">
        <w:rPr>
          <w:color w:val="000000"/>
        </w:rPr>
        <w:t xml:space="preserve">. Similarly, if new information emerges on the hazards of any ingredient of the supplied </w:t>
      </w:r>
      <w:r w:rsidR="006433B6">
        <w:rPr>
          <w:color w:val="000000"/>
        </w:rPr>
        <w:t xml:space="preserve">products, </w:t>
      </w:r>
      <w:r w:rsidRPr="002A6AB3">
        <w:rPr>
          <w:color w:val="000000"/>
        </w:rPr>
        <w:t>that changes the hazard classification, the client is to be informed immediately</w:t>
      </w:r>
      <w:r w:rsidR="006433B6">
        <w:rPr>
          <w:color w:val="000000"/>
        </w:rPr>
        <w:t xml:space="preserve"> and updated technical information, e.g. SDSs must be provided.</w:t>
      </w:r>
      <w:r w:rsidRPr="002A6AB3">
        <w:rPr>
          <w:color w:val="000000"/>
        </w:rPr>
        <w:t>”</w:t>
      </w:r>
    </w:p>
    <w:p w14:paraId="78AF19B9" w14:textId="21EF4CA2" w:rsidR="00F013FB" w:rsidRPr="00F013FB" w:rsidRDefault="00F013FB" w:rsidP="00F013FB">
      <w:pPr>
        <w:pStyle w:val="Listenabsatz"/>
        <w:widowControl w:val="0"/>
        <w:numPr>
          <w:ilvl w:val="0"/>
          <w:numId w:val="4"/>
        </w:numPr>
        <w:spacing w:before="60" w:after="60" w:line="240" w:lineRule="auto"/>
        <w:rPr>
          <w:rFonts w:ascii="Calibri" w:hAnsi="Calibri"/>
          <w:b/>
          <w:color w:val="000000"/>
          <w:sz w:val="24"/>
          <w:szCs w:val="24"/>
        </w:rPr>
      </w:pPr>
      <w:r w:rsidRPr="00F013FB">
        <w:rPr>
          <w:b/>
          <w:color w:val="000000"/>
          <w:sz w:val="24"/>
          <w:szCs w:val="24"/>
        </w:rPr>
        <w:t>Liability</w:t>
      </w:r>
    </w:p>
    <w:p w14:paraId="4C4544E3" w14:textId="04C57624" w:rsidR="00F25A0B" w:rsidRDefault="00F013FB" w:rsidP="00F113CF">
      <w:pPr>
        <w:rPr>
          <w:color w:val="000000"/>
        </w:rPr>
      </w:pPr>
      <w:r w:rsidRPr="00F113CF">
        <w:rPr>
          <w:color w:val="000000"/>
        </w:rPr>
        <w:t xml:space="preserve">“The supplier is liable for the damage caused to </w:t>
      </w:r>
      <w:r w:rsidR="006433B6">
        <w:rPr>
          <w:color w:val="000000"/>
        </w:rPr>
        <w:t>[</w:t>
      </w:r>
      <w:r w:rsidR="006433B6" w:rsidRPr="006433B6">
        <w:rPr>
          <w:i/>
          <w:iCs/>
          <w:color w:val="000000"/>
        </w:rPr>
        <w:t>your company name</w:t>
      </w:r>
      <w:r w:rsidR="006433B6">
        <w:rPr>
          <w:color w:val="000000"/>
        </w:rPr>
        <w:t xml:space="preserve">] and any customer downstream </w:t>
      </w:r>
      <w:r w:rsidRPr="00F113CF">
        <w:rPr>
          <w:color w:val="000000"/>
        </w:rPr>
        <w:t xml:space="preserve">due to the improper communication of hazard information or non-compliance with </w:t>
      </w:r>
      <w:r w:rsidR="006433B6">
        <w:rPr>
          <w:color w:val="000000"/>
        </w:rPr>
        <w:t xml:space="preserve">the </w:t>
      </w:r>
      <w:r w:rsidRPr="00F113CF">
        <w:rPr>
          <w:color w:val="000000"/>
        </w:rPr>
        <w:t>quality requirements legal requirements</w:t>
      </w:r>
      <w:r w:rsidR="006433B6">
        <w:rPr>
          <w:color w:val="000000"/>
        </w:rPr>
        <w:t xml:space="preserve"> that are covered by the current supply contracts</w:t>
      </w:r>
      <w:r w:rsidRPr="00F113CF">
        <w:rPr>
          <w:color w:val="000000"/>
        </w:rPr>
        <w:t>.”</w:t>
      </w:r>
    </w:p>
    <w:p w14:paraId="7CC7AB85" w14:textId="07EE0272" w:rsidR="005B5F1C" w:rsidRPr="005B5F1C" w:rsidRDefault="006433B6" w:rsidP="005B5F1C">
      <w:pPr>
        <w:pStyle w:val="Listenabsatz"/>
        <w:widowControl w:val="0"/>
        <w:numPr>
          <w:ilvl w:val="0"/>
          <w:numId w:val="4"/>
        </w:numPr>
        <w:spacing w:before="60" w:after="60" w:line="240" w:lineRule="auto"/>
        <w:rPr>
          <w:rFonts w:ascii="Calibri" w:hAnsi="Calibri"/>
          <w:b/>
          <w:color w:val="000000"/>
          <w:sz w:val="24"/>
          <w:szCs w:val="24"/>
        </w:rPr>
      </w:pPr>
      <w:r>
        <w:rPr>
          <w:b/>
          <w:color w:val="000000"/>
          <w:sz w:val="24"/>
          <w:szCs w:val="24"/>
        </w:rPr>
        <w:t xml:space="preserve">Purity and </w:t>
      </w:r>
      <w:r w:rsidR="005B5F1C" w:rsidRPr="005B5F1C">
        <w:rPr>
          <w:b/>
          <w:color w:val="000000"/>
          <w:sz w:val="24"/>
          <w:szCs w:val="24"/>
        </w:rPr>
        <w:t>Quality control</w:t>
      </w:r>
    </w:p>
    <w:p w14:paraId="1B06D239" w14:textId="0E36A248" w:rsidR="00DA6BB9" w:rsidRDefault="005B5F1C" w:rsidP="005B5F1C">
      <w:pPr>
        <w:rPr>
          <w:color w:val="000000"/>
        </w:rPr>
      </w:pPr>
      <w:r w:rsidRPr="005B5F1C">
        <w:rPr>
          <w:color w:val="000000"/>
        </w:rPr>
        <w:t xml:space="preserve">“The supplier is </w:t>
      </w:r>
      <w:r w:rsidR="006433B6">
        <w:rPr>
          <w:color w:val="000000"/>
        </w:rPr>
        <w:t>to provide the product according to the agreed quality [</w:t>
      </w:r>
      <w:r w:rsidR="006433B6" w:rsidRPr="006433B6">
        <w:rPr>
          <w:i/>
          <w:iCs/>
          <w:color w:val="000000"/>
        </w:rPr>
        <w:t>include any criteria, such as purity of substances or technical performance of mixtures</w:t>
      </w:r>
      <w:r w:rsidR="006433B6">
        <w:rPr>
          <w:color w:val="000000"/>
        </w:rPr>
        <w:t xml:space="preserve">]. The supplier is responsible for </w:t>
      </w:r>
      <w:r w:rsidRPr="005B5F1C">
        <w:rPr>
          <w:color w:val="000000"/>
        </w:rPr>
        <w:t xml:space="preserve">monitoring the quality of supplied </w:t>
      </w:r>
      <w:r w:rsidR="006433B6">
        <w:rPr>
          <w:color w:val="000000"/>
        </w:rPr>
        <w:t xml:space="preserve">products </w:t>
      </w:r>
      <w:r w:rsidRPr="005B5F1C">
        <w:rPr>
          <w:color w:val="000000"/>
        </w:rPr>
        <w:t>and provides</w:t>
      </w:r>
      <w:r w:rsidR="006433B6">
        <w:rPr>
          <w:color w:val="000000"/>
        </w:rPr>
        <w:t xml:space="preserve">, including via chemical analyses. A </w:t>
      </w:r>
      <w:r w:rsidRPr="005B5F1C">
        <w:rPr>
          <w:color w:val="000000"/>
        </w:rPr>
        <w:t xml:space="preserve">laboratory analysis report </w:t>
      </w:r>
      <w:r w:rsidR="006433B6">
        <w:rPr>
          <w:color w:val="000000"/>
        </w:rPr>
        <w:t xml:space="preserve">must be provided </w:t>
      </w:r>
      <w:r w:rsidRPr="005B5F1C">
        <w:rPr>
          <w:color w:val="000000"/>
        </w:rPr>
        <w:t xml:space="preserve">e.g. every […] </w:t>
      </w:r>
      <w:r>
        <w:t>months</w:t>
      </w:r>
      <w:r w:rsidRPr="005B5F1C">
        <w:rPr>
          <w:color w:val="000000"/>
        </w:rPr>
        <w:t>”</w:t>
      </w:r>
    </w:p>
    <w:p w14:paraId="208B6EA7" w14:textId="77777777" w:rsidR="008D7244" w:rsidRDefault="008D7244" w:rsidP="005B5F1C">
      <w:pPr>
        <w:rPr>
          <w:iCs/>
        </w:rPr>
      </w:pPr>
    </w:p>
    <w:p w14:paraId="10A26784" w14:textId="77777777" w:rsidR="00C95B4D" w:rsidRDefault="00C95B4D" w:rsidP="00C95B4D">
      <w:r>
        <w:t xml:space="preserve">The provisions in the supply contract should be proportionate to the supplied product. If large amounts of goods are purchased, requesting a laboratory report is more appropriate than if only small amounts are bought from a supplier. </w:t>
      </w:r>
    </w:p>
    <w:p w14:paraId="4CD5D1E0" w14:textId="77777777" w:rsidR="00970393" w:rsidRDefault="00970393" w:rsidP="00970393">
      <w:r>
        <w:t xml:space="preserve">If a company receives specific requests on the chemical composition of the products, it is useful to ‘forward’ these criteria in the own supply contracts. This helps ensure compliance and may eventually improve chemicals management along the entire supply chain. </w:t>
      </w:r>
    </w:p>
    <w:p w14:paraId="799CD4F3" w14:textId="77777777" w:rsidR="00C95B4D" w:rsidRPr="005B5F1C" w:rsidRDefault="00C95B4D" w:rsidP="005B5F1C">
      <w:pPr>
        <w:rPr>
          <w:iCs/>
        </w:rPr>
      </w:pPr>
    </w:p>
    <w:sectPr w:rsidR="00C95B4D" w:rsidRPr="005B5F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67382"/>
    <w:multiLevelType w:val="multilevel"/>
    <w:tmpl w:val="3A9E2F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BBA70A3"/>
    <w:multiLevelType w:val="hybridMultilevel"/>
    <w:tmpl w:val="C922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843C9"/>
    <w:multiLevelType w:val="hybridMultilevel"/>
    <w:tmpl w:val="4192DDA8"/>
    <w:lvl w:ilvl="0" w:tplc="FFFFFFFF">
      <w:start w:val="1"/>
      <w:numFmt w:val="decimal"/>
      <w:lvlText w:val="%1."/>
      <w:lvlJc w:val="left"/>
      <w:pPr>
        <w:ind w:left="720" w:hanging="36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497BE9"/>
    <w:multiLevelType w:val="hybridMultilevel"/>
    <w:tmpl w:val="154C7E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267D8D"/>
    <w:multiLevelType w:val="hybridMultilevel"/>
    <w:tmpl w:val="4192DDA8"/>
    <w:lvl w:ilvl="0" w:tplc="FFFFFFFF">
      <w:start w:val="1"/>
      <w:numFmt w:val="decimal"/>
      <w:lvlText w:val="%1."/>
      <w:lvlJc w:val="left"/>
      <w:pPr>
        <w:ind w:left="720" w:hanging="36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F25690"/>
    <w:multiLevelType w:val="hybridMultilevel"/>
    <w:tmpl w:val="4192DDA8"/>
    <w:lvl w:ilvl="0" w:tplc="26BC86B4">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997682"/>
    <w:multiLevelType w:val="hybridMultilevel"/>
    <w:tmpl w:val="4192DDA8"/>
    <w:lvl w:ilvl="0" w:tplc="FFFFFFFF">
      <w:start w:val="1"/>
      <w:numFmt w:val="decimal"/>
      <w:lvlText w:val="%1."/>
      <w:lvlJc w:val="left"/>
      <w:pPr>
        <w:ind w:left="720" w:hanging="36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9905C6B"/>
    <w:multiLevelType w:val="hybridMultilevel"/>
    <w:tmpl w:val="4192DDA8"/>
    <w:lvl w:ilvl="0" w:tplc="FFFFFFFF">
      <w:start w:val="1"/>
      <w:numFmt w:val="decimal"/>
      <w:lvlText w:val="%1."/>
      <w:lvlJc w:val="left"/>
      <w:pPr>
        <w:ind w:left="720" w:hanging="360"/>
      </w:pPr>
      <w:rPr>
        <w:rFonts w:asciiTheme="minorHAns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0958476">
    <w:abstractNumId w:val="3"/>
  </w:num>
  <w:num w:numId="2" w16cid:durableId="1842772005">
    <w:abstractNumId w:val="1"/>
  </w:num>
  <w:num w:numId="3" w16cid:durableId="1613855785">
    <w:abstractNumId w:val="0"/>
  </w:num>
  <w:num w:numId="4" w16cid:durableId="398794033">
    <w:abstractNumId w:val="5"/>
  </w:num>
  <w:num w:numId="5" w16cid:durableId="780538127">
    <w:abstractNumId w:val="6"/>
  </w:num>
  <w:num w:numId="6" w16cid:durableId="1185562034">
    <w:abstractNumId w:val="2"/>
  </w:num>
  <w:num w:numId="7" w16cid:durableId="1622032092">
    <w:abstractNumId w:val="4"/>
  </w:num>
  <w:num w:numId="8" w16cid:durableId="11834779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7E"/>
    <w:rsid w:val="0003712B"/>
    <w:rsid w:val="00110AAC"/>
    <w:rsid w:val="00194945"/>
    <w:rsid w:val="001A0647"/>
    <w:rsid w:val="002A6AB3"/>
    <w:rsid w:val="003C1A45"/>
    <w:rsid w:val="004C2C8D"/>
    <w:rsid w:val="0050643A"/>
    <w:rsid w:val="00575AAF"/>
    <w:rsid w:val="00597287"/>
    <w:rsid w:val="005B5F1C"/>
    <w:rsid w:val="006433B6"/>
    <w:rsid w:val="00661D7D"/>
    <w:rsid w:val="00723E59"/>
    <w:rsid w:val="00775B5D"/>
    <w:rsid w:val="007A0492"/>
    <w:rsid w:val="007D3E18"/>
    <w:rsid w:val="008D7244"/>
    <w:rsid w:val="00970393"/>
    <w:rsid w:val="00A12A99"/>
    <w:rsid w:val="00A81724"/>
    <w:rsid w:val="00AC47CE"/>
    <w:rsid w:val="00B7312D"/>
    <w:rsid w:val="00B85C7E"/>
    <w:rsid w:val="00BB5D39"/>
    <w:rsid w:val="00C95B4D"/>
    <w:rsid w:val="00DA5C5A"/>
    <w:rsid w:val="00DA6BB9"/>
    <w:rsid w:val="00F013FB"/>
    <w:rsid w:val="00F113CF"/>
    <w:rsid w:val="00F2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FD830"/>
  <w15:chartTrackingRefBased/>
  <w15:docId w15:val="{97FC4FE6-D5A0-49C0-8455-C7F3B186B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85C7E"/>
    <w:pPr>
      <w:spacing w:after="120"/>
      <w:ind w:left="720"/>
      <w:contextualSpacing/>
    </w:pPr>
  </w:style>
  <w:style w:type="character" w:styleId="Kommentarzeichen">
    <w:name w:val="annotation reference"/>
    <w:basedOn w:val="Absatz-Standardschriftart"/>
    <w:uiPriority w:val="99"/>
    <w:semiHidden/>
    <w:unhideWhenUsed/>
    <w:qFormat/>
    <w:rsid w:val="00B85C7E"/>
    <w:rPr>
      <w:sz w:val="16"/>
      <w:szCs w:val="16"/>
    </w:rPr>
  </w:style>
  <w:style w:type="paragraph" w:styleId="Kommentartext">
    <w:name w:val="annotation text"/>
    <w:basedOn w:val="Standard"/>
    <w:link w:val="KommentartextZchn"/>
    <w:uiPriority w:val="99"/>
    <w:unhideWhenUsed/>
    <w:qFormat/>
    <w:rsid w:val="00B85C7E"/>
    <w:pPr>
      <w:spacing w:after="120" w:line="240" w:lineRule="auto"/>
    </w:pPr>
    <w:rPr>
      <w:sz w:val="20"/>
      <w:szCs w:val="20"/>
    </w:rPr>
  </w:style>
  <w:style w:type="character" w:customStyle="1" w:styleId="KommentartextZchn">
    <w:name w:val="Kommentartext Zchn"/>
    <w:basedOn w:val="Absatz-Standardschriftart"/>
    <w:link w:val="Kommentartext"/>
    <w:uiPriority w:val="99"/>
    <w:qFormat/>
    <w:rsid w:val="00B85C7E"/>
    <w:rPr>
      <w:sz w:val="20"/>
      <w:szCs w:val="20"/>
      <w:lang w:val="en-GB"/>
    </w:rPr>
  </w:style>
  <w:style w:type="character" w:customStyle="1" w:styleId="normaltextrun">
    <w:name w:val="normaltextrun"/>
    <w:basedOn w:val="Absatz-Standardschriftart"/>
    <w:rsid w:val="00661D7D"/>
  </w:style>
  <w:style w:type="paragraph" w:styleId="KeinLeerraum">
    <w:name w:val="No Spacing"/>
    <w:uiPriority w:val="1"/>
    <w:qFormat/>
    <w:rsid w:val="00661D7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B19E1CBC2D2BF4C87C3FCBE51FE220D" ma:contentTypeVersion="17" ma:contentTypeDescription="Loo uus dokument" ma:contentTypeScope="" ma:versionID="ecf3e72a8993880a5a3fbe5b30321ebf">
  <xsd:schema xmlns:xsd="http://www.w3.org/2001/XMLSchema" xmlns:xs="http://www.w3.org/2001/XMLSchema" xmlns:p="http://schemas.microsoft.com/office/2006/metadata/properties" xmlns:ns2="6d84458d-bb93-45db-880e-726f97a861f0" xmlns:ns3="797cc165-86d4-452d-b8f5-099eb03bb020" targetNamespace="http://schemas.microsoft.com/office/2006/metadata/properties" ma:root="true" ma:fieldsID="375154c9d2ba8c9b28711eaeb7b045f5" ns2:_="" ns3:_="">
    <xsd:import namespace="6d84458d-bb93-45db-880e-726f97a861f0"/>
    <xsd:import namespace="797cc165-86d4-452d-b8f5-099eb03bb0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4458d-bb93-45db-880e-726f97a86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Pildisildid" ma:readOnly="false" ma:fieldId="{5cf76f15-5ced-4ddc-b409-7134ff3c332f}" ma:taxonomyMulti="true" ma:sspId="5f3971f4-73fe-465d-a72e-b9534b0b2cb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7cc165-86d4-452d-b8f5-099eb03bb02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9e92945-7eb3-40aa-a947-8c647d4b76e7}" ma:internalName="TaxCatchAll" ma:showField="CatchAllData" ma:web="797cc165-86d4-452d-b8f5-099eb03bb0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d84458d-bb93-45db-880e-726f97a861f0">
      <Terms xmlns="http://schemas.microsoft.com/office/infopath/2007/PartnerControls"/>
    </lcf76f155ced4ddcb4097134ff3c332f>
    <TaxCatchAll xmlns="797cc165-86d4-452d-b8f5-099eb03bb0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7F5C03-4311-483B-8BB2-4A9396FF8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4458d-bb93-45db-880e-726f97a861f0"/>
    <ds:schemaRef ds:uri="797cc165-86d4-452d-b8f5-099eb03bb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915940-6EEE-4645-B632-FA905AF18C0A}">
  <ds:schemaRefs>
    <ds:schemaRef ds:uri="http://schemas.microsoft.com/office/2006/metadata/properties"/>
    <ds:schemaRef ds:uri="http://schemas.microsoft.com/office/infopath/2007/PartnerControls"/>
    <ds:schemaRef ds:uri="6d84458d-bb93-45db-880e-726f97a861f0"/>
    <ds:schemaRef ds:uri="797cc165-86d4-452d-b8f5-099eb03bb020"/>
  </ds:schemaRefs>
</ds:datastoreItem>
</file>

<file path=customXml/itemProps3.xml><?xml version="1.0" encoding="utf-8"?>
<ds:datastoreItem xmlns:ds="http://schemas.openxmlformats.org/officeDocument/2006/customXml" ds:itemID="{1559844C-5693-4958-A4AC-022722D596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2062</Characters>
  <Application>Microsoft Office Word</Application>
  <DocSecurity>0</DocSecurity>
  <Lines>17</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 Nõmmsalu</dc:creator>
  <cp:keywords/>
  <dc:description/>
  <cp:lastModifiedBy>Antonia Reihlen</cp:lastModifiedBy>
  <cp:revision>30</cp:revision>
  <dcterms:created xsi:type="dcterms:W3CDTF">2024-06-06T15:48:00Z</dcterms:created>
  <dcterms:modified xsi:type="dcterms:W3CDTF">2024-07-04T13:14:00Z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0x0101002B19E1CBC2D2BF4C87C3FCBE51FE220D</vt:lpwstr>
  </property>
</Properties>
</file>